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WILLSCOT HOLDINGS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7,681,216.00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8,030,138.00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3,609.00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8,034,234.00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1"/>
        <w:gridCol w:w="8949"/>
        <w:gridCol w:w="155"/>
      </w:tblGrid>
      <w:tr>
        <w:trPr/>
        <w:tc>
          <w:tcPr>
            <w:tcW w:w="1101" w:type="dxa"/>
            <w:tcBorders/>
            <w:vAlign w:val="center"/>
          </w:tcPr>
          <w:p>
            <w:pPr>
              <w:pStyle w:val="TableContents"/>
              <w:bidi w:val="0"/>
              <w:spacing w:before="0" w:after="283"/>
              <w:jc w:val="left"/>
              <w:rPr/>
            </w:pPr>
            <w:r>
              <w:rPr/>
              <w:t>Item 1.</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issuer: </w:t>
            </w:r>
          </w:p>
          <w:p>
            <w:pPr>
              <w:pStyle w:val="TableContents"/>
              <w:bidi w:val="0"/>
              <w:spacing w:before="0" w:after="0"/>
              <w:jc w:val="left"/>
              <w:rPr/>
            </w:pPr>
            <w:r>
              <w:rPr/>
              <w:t>WILLSCOT HOLDINGS CORPORATION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6400 East McDowell Road Suite 300 Scottsdale AZ 85257</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2.</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3.</w:t>
            </w:r>
          </w:p>
        </w:tc>
        <w:tc>
          <w:tcPr>
            <w:tcW w:w="894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(f)</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(g)</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(h)</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(j)</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(k)</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9104" w:type="dxa"/>
            <w:gridSpan w:val="2"/>
            <w:tcBorders/>
            <w:vAlign w:val="center"/>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4.</w:t>
            </w:r>
          </w:p>
        </w:tc>
        <w:tc>
          <w:tcPr>
            <w:tcW w:w="894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8034234</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4.4  %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7681216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8030138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3609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5.</w:t>
            </w:r>
          </w:p>
        </w:tc>
        <w:tc>
          <w:tcPr>
            <w:tcW w:w="894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6.</w:t>
            </w:r>
          </w:p>
        </w:tc>
        <w:tc>
          <w:tcPr>
            <w:tcW w:w="894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7.</w:t>
            </w:r>
          </w:p>
        </w:tc>
        <w:tc>
          <w:tcPr>
            <w:tcW w:w="894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Asset Management (UK) Limited; JPMorgan Chase Bank, National Association; J.P. Morgan Investment Management Inc.; J.P. Morgan Private Investments Inc.; 55I, LLC</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8.</w:t>
            </w:r>
          </w:p>
        </w:tc>
        <w:tc>
          <w:tcPr>
            <w:tcW w:w="894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9.</w:t>
            </w:r>
          </w:p>
        </w:tc>
        <w:tc>
          <w:tcPr>
            <w:tcW w:w="894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1027</Words>
  <Characters>5266</Characters>
  <CharactersWithSpaces>6284</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