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6, 2026</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both"/>
              <w:rPr/>
            </w:pPr>
            <w:r>
              <w:rPr/>
            </w:r>
          </w:p>
        </w:tc>
      </w:tr>
    </w:tbl>
    <w:p>
      <w:pPr>
        <w:pStyle w:val="TextBody"/>
        <w:bidi w:val="0"/>
        <w:spacing w:lineRule="auto" w:line="288" w:before="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lineRule="auto" w:line="288"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FORM S-8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REGISTRATION STATEMENT UNDER 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before="240" w:after="16"/>
        <w:jc w:val="center"/>
        <w:rPr/>
      </w:pPr>
      <w:r>
        <w:rPr/>
        <w:drawing>
          <wp:inline distT="0" distB="0" distL="0" distR="0">
            <wp:extent cx="20383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33425"/>
                    </a:xfrm>
                    <a:prstGeom prst="rect">
                      <a:avLst/>
                    </a:prstGeom>
                  </pic:spPr>
                </pic:pic>
              </a:graphicData>
            </a:graphic>
          </wp:inline>
        </w:drawing>
      </w:r>
    </w:p>
    <w:p>
      <w:pPr>
        <w:pStyle w:val="TextBody"/>
        <w:bidi w:val="0"/>
        <w:spacing w:lineRule="auto" w:line="288" w:before="16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WillScot Holdings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before="0" w:after="0"/>
        <w:jc w:val="both"/>
        <w:rPr/>
      </w:pPr>
      <w:r>
        <w:rPr/>
      </w:r>
    </w:p>
    <w:tbl>
      <w:tblPr>
        <w:tblW w:w="5009" w:type="dxa"/>
        <w:jc w:val="left"/>
        <w:tblInd w:w="0" w:type="dxa"/>
        <w:tblLayout w:type="fixed"/>
        <w:tblCellMar>
          <w:top w:w="28" w:type="dxa"/>
          <w:left w:w="28" w:type="dxa"/>
          <w:bottom w:w="28" w:type="dxa"/>
          <w:right w:w="28" w:type="dxa"/>
        </w:tblCellMar>
      </w:tblPr>
      <w:tblGrid>
        <w:gridCol w:w="1218"/>
        <w:gridCol w:w="1069"/>
        <w:gridCol w:w="1072"/>
        <w:gridCol w:w="483"/>
        <w:gridCol w:w="483"/>
        <w:gridCol w:w="68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82-3430194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6400 East McDowell Road, Suite 300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Scottsdale, Arizona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85257</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WillScot Holdings Corporation 2026 Incentive Award Plan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(Full title of the plan)</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 Gary Shullaw</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Senior Vice President, Chief Legal Officer &amp; Corporate Secretary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WillScot Holdings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6400 East McDowell Road, Suite 300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Scottsdale, Arizona 85257</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(Name and address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(480) 894-6311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Copy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 Lake Taylor, Jr.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McGuireWoods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Gateway Plaza</w:t>
        <w:br/>
        <w:t>800 East Canal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Richmond, Virginia 23219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(804) 775-1000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both"/>
              <w:rPr/>
            </w:pPr>
            <w:r>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912"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both"/>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160"/>
              <w:jc w:val="both"/>
              <w:rPr>
                <w:color w:val="000000"/>
              </w:rPr>
            </w:pPr>
            <w:r>
              <w:rPr>
                <w:color w:val="00000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7(a)(2)(B) of Securities Act. </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PART I</w:t>
      </w:r>
    </w:p>
    <w:p>
      <w:pPr>
        <w:pStyle w:val="TextBody"/>
        <w:bidi w:val="0"/>
        <w:spacing w:lineRule="auto" w:line="288" w:before="240" w:after="283"/>
        <w:ind w:left="0" w:right="0" w:firstLine="49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INFORMATION REQUIRED IN THE SECTION 10(a) PROSPECTUS</w:t>
      </w:r>
    </w:p>
    <w:p>
      <w:pPr>
        <w:pStyle w:val="TextBody"/>
        <w:bidi w:val="0"/>
        <w:spacing w:lineRule="auto" w:line="288" w:before="24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Item 1. Plan Information.</w:t>
      </w:r>
    </w:p>
    <w:p>
      <w:pPr>
        <w:pStyle w:val="TextBody"/>
        <w:bidi w:val="0"/>
        <w:spacing w:lineRule="auto" w:line="288" w:before="240" w:after="283"/>
        <w:ind w:left="0" w:right="0" w:firstLine="49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Not required to be filed with the Securities and Exchange Commission (the “Commission”).</w:t>
      </w:r>
    </w:p>
    <w:p>
      <w:pPr>
        <w:pStyle w:val="TextBody"/>
        <w:bidi w:val="0"/>
        <w:spacing w:lineRule="auto" w:line="288" w:before="24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Item 2. Registrant Information and Employee Plan Annual Information.</w:t>
      </w:r>
    </w:p>
    <w:p>
      <w:pPr>
        <w:pStyle w:val="TextBody"/>
        <w:bidi w:val="0"/>
        <w:spacing w:lineRule="auto" w:line="288" w:before="240" w:after="283"/>
        <w:ind w:left="0" w:right="0" w:firstLine="49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Not required to be filed with the Commission.</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PART II</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INFORMATION REQUIRED IN THE REGISTRATION STATEMENT</w:t>
      </w:r>
    </w:p>
    <w:p>
      <w:pPr>
        <w:pStyle w:val="TextBody"/>
        <w:bidi w:val="0"/>
        <w:spacing w:lineRule="auto" w:line="288" w:before="120" w:after="24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Item 3. Incorporation of Documents by Reference.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WillScot Holdings Corporation (the “Company”) incorporates by reference the following documents, which the Company previously filed with the Commission (File No. 001-37552) pursuant to the Securities Exchange Act of 1934, as amended (the “Exchange Act”), and which are made part of this Registration Statement on Form S-8 (this (“Registration Statement”) (other than documents or information included in such documents deemed to have been furnished and not filed in accordance with Commission rules):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(i)the Company’s Annual Report on </w:t>
      </w:r>
      <w:hyperlink r:id="rId3">
        <w:r>
          <w:rPr>
            <w:rStyle w:val="InternetLink"/>
            <w:rFonts w:ascii="Times New Roman;serif" w:hAnsi="Times New Roman;serif"/>
            <w:b w:val="false"/>
            <w:color w:val="0000FF"/>
            <w:sz w:val="22"/>
            <w:u w:val="single"/>
          </w:rPr>
          <w:t>Form 10-K for the year ended December 31, 2025</w:t>
        </w:r>
      </w:hyperlink>
      <w:r>
        <w:rPr>
          <w:color w:val="000000"/>
        </w:rPr>
        <w:t xml:space="preserve"> </w:t>
      </w:r>
      <w:r>
        <w:rPr>
          <w:rFonts w:ascii="Times New Roman;serif" w:hAnsi="Times New Roman;serif"/>
          <w:b w:val="false"/>
          <w:color w:val="000000"/>
          <w:sz w:val="22"/>
        </w:rPr>
        <w:t xml:space="preserve">(including the portions of the Company’s Definitive Proxy Statement on </w:t>
      </w:r>
      <w:hyperlink r:id="rId4">
        <w:r>
          <w:rPr>
            <w:rStyle w:val="InternetLink"/>
            <w:rFonts w:ascii="Times New Roman;serif" w:hAnsi="Times New Roman;serif"/>
            <w:b w:val="false"/>
            <w:color w:val="0000FF"/>
            <w:sz w:val="22"/>
            <w:u w:val="single"/>
          </w:rPr>
          <w:t>Schedule 14A, filed with the Commission on April 22, 2026</w:t>
        </w:r>
      </w:hyperlink>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(ii)the Company’s Quarterly Reports on Form 10-Q for the quarters ended </w:t>
      </w:r>
      <w:hyperlink r:id="rId5">
        <w:r>
          <w:rPr>
            <w:rStyle w:val="InternetLink"/>
            <w:rFonts w:ascii="Times New Roman;serif" w:hAnsi="Times New Roman;serif"/>
            <w:b w:val="false"/>
            <w:color w:val="0000FF"/>
            <w:sz w:val="22"/>
            <w:u w:val="single"/>
          </w:rPr>
          <w:t>March 31, 2026</w:t>
        </w:r>
      </w:hyperlink>
      <w:r>
        <w:rPr>
          <w:color w:val="000000"/>
        </w:rPr>
        <w:t xml:space="preserve"> </w:t>
      </w:r>
      <w:r>
        <w:rPr>
          <w:rFonts w:ascii="Times New Roman;serif" w:hAnsi="Times New Roman;serif"/>
          <w:b w:val="false"/>
          <w:color w:val="000000"/>
          <w:sz w:val="22"/>
        </w:rPr>
        <w:t xml:space="preserve">and </w:t>
      </w:r>
      <w:hyperlink r:id="rId6">
        <w:r>
          <w:rPr>
            <w:rStyle w:val="InternetLink"/>
            <w:rFonts w:ascii="Times New Roman;serif" w:hAnsi="Times New Roman;serif"/>
            <w:b w:val="false"/>
            <w:color w:val="0000FF"/>
            <w:sz w:val="22"/>
            <w:u w:val="single"/>
          </w:rPr>
          <w:t>June 30, 2026</w:t>
        </w:r>
      </w:hyperlink>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(iii)the Company’s Current Reports on Form 8-K, filed with the Commission on </w:t>
      </w:r>
      <w:hyperlink r:id="rId7">
        <w:r>
          <w:rPr>
            <w:rStyle w:val="InternetLink"/>
          </w:rPr>
          <w:t>January 20, 2</w:t>
        </w:r>
      </w:hyperlink>
      <w:hyperlink r:id="rId8">
        <w:r>
          <w:rPr>
            <w:rStyle w:val="InternetLink"/>
          </w:rPr>
          <w:t>026</w:t>
        </w:r>
      </w:hyperlink>
      <w:r>
        <w:rPr>
          <w:color w:val="000000"/>
        </w:rPr>
        <w:t xml:space="preserve"> </w:t>
      </w:r>
      <w:r>
        <w:rPr>
          <w:rFonts w:ascii="Times New Roman;serif" w:hAnsi="Times New Roman;serif"/>
          <w:b w:val="false"/>
          <w:color w:val="000000"/>
          <w:sz w:val="22"/>
        </w:rPr>
        <w:t xml:space="preserve">and </w:t>
      </w:r>
      <w:hyperlink r:id="rId9">
        <w:r>
          <w:rPr>
            <w:rStyle w:val="InternetLink"/>
            <w:rFonts w:ascii="Times New Roman;serif" w:hAnsi="Times New Roman;serif"/>
            <w:b w:val="false"/>
            <w:color w:val="0000FF"/>
            <w:sz w:val="22"/>
            <w:u w:val="single"/>
          </w:rPr>
          <w:t>June 8, 2026</w:t>
        </w:r>
      </w:hyperlink>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(iv)the description of the Company’s common stock, par value $0.0001 per share, contained in </w:t>
      </w:r>
      <w:hyperlink r:id="rId10">
        <w:r>
          <w:rPr>
            <w:rStyle w:val="InternetLink"/>
            <w:rFonts w:ascii="Times New Roman;serif" w:hAnsi="Times New Roman;serif"/>
            <w:b w:val="false"/>
            <w:color w:val="0000FF"/>
            <w:sz w:val="22"/>
            <w:u w:val="single"/>
          </w:rPr>
          <w:t>Exhibit 4.12</w:t>
        </w:r>
      </w:hyperlink>
      <w:r>
        <w:rPr>
          <w:color w:val="000000"/>
        </w:rPr>
        <w:t xml:space="preserve"> </w:t>
      </w:r>
      <w:r>
        <w:rPr>
          <w:rFonts w:ascii="Times New Roman;serif" w:hAnsi="Times New Roman;serif"/>
          <w:b w:val="false"/>
          <w:color w:val="000000"/>
          <w:sz w:val="22"/>
        </w:rPr>
        <w:t xml:space="preserve">to the Company’s Annual Report on </w:t>
      </w:r>
      <w:hyperlink r:id="rId11">
        <w:r>
          <w:rPr>
            <w:rStyle w:val="InternetLink"/>
            <w:rFonts w:ascii="Times New Roman;serif" w:hAnsi="Times New Roman;serif"/>
            <w:b w:val="false"/>
            <w:color w:val="0000FF"/>
            <w:sz w:val="22"/>
            <w:u w:val="single"/>
          </w:rPr>
          <w:t>Form 10-K for the year ended December 31, 2025</w:t>
        </w:r>
      </w:hyperlink>
      <w:r>
        <w:rPr>
          <w:rFonts w:ascii="Times New Roman;serif" w:hAnsi="Times New Roman;serif"/>
          <w:b w:val="false"/>
          <w:color w:val="000000"/>
          <w:sz w:val="22"/>
        </w:rPr>
        <w:t>, including any amendment or report filed for the purpose of updating such description.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All documents that the Company subsequently files with the Commission pursuant to Sections 13(a), 13(c), 14 and 15(d) of the Exchange Act after the date of this Registration Statement and prior to the filing of a post-effective amendment that indicates that all securities offered have been sold or that deregisters all securities then remaining unsold, will be deemed to be incorporated by reference herein and to be part hereof from the date such documents are filed (other than documents or information included in such documents deemed to have been furnished and not filed in accordance with Commission rules). Any statement contained herein or in any document incorporated or deemed to be incorporated herein by reference will be deemed to be modified or superseded for purposes of this Registration Statement to the extent that a statement contained in any other subsequently filed document that also is or is deemed to be incorporated herein by reference modifies or supersedes such statement. Any such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statement so modified or superseded will not be deemed to constitute a part of this Registration Statement, except as so modified or superseded.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4. Description of Securities.</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5. Interests of Named Experts and Counsel.</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6. Indemnification of Directors and Officers.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Subsection (a) of Section 145 of the Delaware General Corporation Law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that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Subsection (b) of Section 145 of the DGCL empowers a corporation to indemnify any person who was or is a party or is threatened to be made a party to any threatened, pending or completed action or suit by or in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Subsection (d) of Section 145 of the DGCL provides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a committee of such directors designated by the majority vote of such directors, even though less than a quorum, or (3) if there are no such directors, or if such directors so direct, by independent legal counsel in a written opinion, or (4) by the stockholders.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145 of the DGCL further provides that to the extent a present or former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and that such expenses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that any indemnification and advancement of expenses provided by, or granted pursuant to, Section 145 shall not be deemed exclusive of any other rights to which the indemnified party may be entitled; that indemnification and advancement of expenses provided by, or granted pursuant to, Section 145 shall, unless otherwise provided when authorized or ratified, continue as to a person who has ceased to be a director, officer, employee or agent and shall inure to the benefit of such person’s heirs, executors and administrators; and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liabilities under Section 145.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Article VIII, Section 1 of Company’s Amended and Restated Certificate of Incorporation (the “Charter”) and Section 6.1 of the Company’s Sixth Amended and Restated Bylaws require the Company to indemnify and hold harmless, to the fullest extent permitted from time to time under the DGCL, each person who is made or threatened to be made a party to or otherwise involved in any action, suit or proceeding, whether civil, criminal, administrative or investigative, by reason of the fact that such person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This indemnification will cover all expenses (including attorneys’ fees), liabilities and losses reasonably incurred by such individuals.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authorized by Article VIII, Section 3 of the Charter, the Company has purchased and maintains at its expense on behalf of directors and officers insurance, within certain limits, covering liabilities that may be incurred by them in such capacities.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agreement that the Company enters into with respect to the sale of securities may also provide for indemnification provisions.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Article VIII, Section 2 of the Charter provides that a director or officer of the Company shall not be personally liable to the Company or its stockholders for monetary damages for breach of fiduciary duty as a director, except for liability (1) for any breach of the director’s or officer’s duty of loyalty to the Company or its stockholders, (2) for acts or omissions not in good faith or that involve intentional misconduct or a knowing violation of law, (3) under Section 174 of the DGCL, in the case of directors only, for payment of unlawful dividends or unlawful stock repurchases or redemption, (4) for any action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or in the right of the Company, in the case of officers only, or (4) for any transaction from which the director or officer derived an improper personal benefit.</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7. Exemption from Registration Claimed.</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36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Item 8. Exhibits.</w:t>
      </w:r>
    </w:p>
    <w:p>
      <w:pPr>
        <w:pStyle w:val="TextBody"/>
        <w:bidi w:val="0"/>
        <w:spacing w:lineRule="auto" w:line="288" w:before="120" w:after="283"/>
        <w:ind w:left="0" w:right="0" w:firstLine="49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following are filed as exhibits to this Registration Statement: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3"/>
        <w:gridCol w:w="134"/>
        <w:gridCol w:w="134"/>
        <w:gridCol w:w="134"/>
        <w:gridCol w:w="134"/>
        <w:gridCol w:w="137"/>
        <w:gridCol w:w="109"/>
        <w:gridCol w:w="109"/>
        <w:gridCol w:w="109"/>
        <w:gridCol w:w="2651"/>
        <w:gridCol w:w="2642"/>
        <w:gridCol w:w="3759"/>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8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Exhibit</w:t>
            </w:r>
          </w:p>
          <w:p>
            <w:pPr>
              <w:pStyle w:val="TableContents"/>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Description</w:t>
            </w:r>
          </w:p>
        </w:tc>
      </w:tr>
      <w:tr>
        <w:trPr/>
        <w:tc>
          <w:tcPr>
            <w:tcW w:w="8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both"/>
              <w:rPr/>
            </w:pPr>
            <w:hyperlink w:anchor="ex51-wscxmwopinion.htm">
              <w:r>
                <w:rPr>
                  <w:rStyle w:val="InternetLink"/>
                  <w:rFonts w:ascii="Times New Roman;serif" w:hAnsi="Times New Roman;serif"/>
                  <w:b w:val="false"/>
                  <w:color w:val="000000"/>
                  <w:sz w:val="22"/>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hanging="240"/>
              <w:jc w:val="both"/>
              <w:rPr/>
            </w:pPr>
            <w:hyperlink w:anchor="ex51-wscxmwopinion.htm">
              <w:r>
                <w:rPr>
                  <w:rStyle w:val="InternetLink"/>
                  <w:rFonts w:ascii="Times New Roman;serif" w:hAnsi="Times New Roman;serif"/>
                  <w:b w:val="false"/>
                  <w:color w:val="000000"/>
                  <w:sz w:val="22"/>
                </w:rPr>
                <w:t>Opinion of McGuireWoods LLP.</w:t>
              </w:r>
            </w:hyperlink>
          </w:p>
        </w:tc>
      </w:tr>
      <w:tr>
        <w:trPr/>
        <w:tc>
          <w:tcPr>
            <w:tcW w:w="826" w:type="dxa"/>
            <w:gridSpan w:val="6"/>
            <w:tcBorders/>
            <w:tcMar>
              <w:top w:w="0" w:type="dxa"/>
              <w:left w:w="0" w:type="dxa"/>
              <w:bottom w:w="0" w:type="dxa"/>
              <w:right w:w="0" w:type="dxa"/>
            </w:tcMar>
            <w:vAlign w:val="center"/>
          </w:tcPr>
          <w:p>
            <w:pPr>
              <w:pStyle w:val="TableContents"/>
              <w:bidi w:val="0"/>
              <w:spacing w:lineRule="auto" w:line="300" w:before="0" w:after="160"/>
              <w:jc w:val="both"/>
              <w:rPr/>
            </w:pPr>
            <w:hyperlink w:anchor="ex231-eyconsent.htm">
              <w:r>
                <w:rPr>
                  <w:rStyle w:val="InternetLink"/>
                  <w:rFonts w:ascii="Times New Roman;serif" w:hAnsi="Times New Roman;serif"/>
                  <w:b w:val="false"/>
                  <w:color w:val="000000"/>
                  <w:sz w:val="22"/>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40"/>
              <w:jc w:val="both"/>
              <w:rPr/>
            </w:pPr>
            <w:hyperlink w:anchor="ex231-eyconsent.htm">
              <w:r>
                <w:rPr>
                  <w:rStyle w:val="InternetLink"/>
                  <w:rFonts w:ascii="Times New Roman;serif" w:hAnsi="Times New Roman;serif"/>
                  <w:b w:val="false"/>
                  <w:color w:val="000000"/>
                  <w:sz w:val="22"/>
                </w:rPr>
                <w:t>Consent of Ernst &amp; Young LLP.</w:t>
              </w:r>
            </w:hyperlink>
          </w:p>
        </w:tc>
      </w:tr>
      <w:tr>
        <w:trPr/>
        <w:tc>
          <w:tcPr>
            <w:tcW w:w="826" w:type="dxa"/>
            <w:gridSpan w:val="6"/>
            <w:tcBorders/>
            <w:tcMar>
              <w:top w:w="0" w:type="dxa"/>
              <w:left w:w="0" w:type="dxa"/>
              <w:bottom w:w="0" w:type="dxa"/>
              <w:right w:w="0" w:type="dxa"/>
            </w:tcMar>
            <w:vAlign w:val="center"/>
          </w:tcPr>
          <w:p>
            <w:pPr>
              <w:pStyle w:val="TableContents"/>
              <w:bidi w:val="0"/>
              <w:spacing w:lineRule="auto" w:line="300" w:before="0" w:after="160"/>
              <w:jc w:val="both"/>
              <w:rPr/>
            </w:pPr>
            <w:hyperlink w:anchor="ex51-wscxmwopinion.htm">
              <w:r>
                <w:rPr>
                  <w:rStyle w:val="InternetLink"/>
                  <w:rFonts w:ascii="Times New Roman;serif" w:hAnsi="Times New Roman;serif"/>
                  <w:b w:val="false"/>
                  <w:color w:val="000000"/>
                  <w:sz w:val="22"/>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40"/>
              <w:jc w:val="both"/>
              <w:rPr/>
            </w:pPr>
            <w:hyperlink w:anchor="ex51-wscxmwopinion.htm">
              <w:r>
                <w:rPr>
                  <w:rStyle w:val="InternetLink"/>
                  <w:rFonts w:ascii="Times New Roman;serif" w:hAnsi="Times New Roman;serif"/>
                  <w:b w:val="false"/>
                  <w:color w:val="000000"/>
                  <w:sz w:val="22"/>
                </w:rPr>
                <w:t>Consent of McGuireWoods LLP (included in Exhibit 5.1).</w:t>
              </w:r>
            </w:hyperlink>
          </w:p>
        </w:tc>
      </w:tr>
      <w:tr>
        <w:trPr/>
        <w:tc>
          <w:tcPr>
            <w:tcW w:w="826" w:type="dxa"/>
            <w:gridSpan w:val="6"/>
            <w:tcBorders/>
            <w:tcMar>
              <w:top w:w="0" w:type="dxa"/>
              <w:left w:w="0" w:type="dxa"/>
              <w:bottom w:w="0" w:type="dxa"/>
              <w:right w:w="0" w:type="dxa"/>
            </w:tcMar>
            <w:vAlign w:val="center"/>
          </w:tcPr>
          <w:p>
            <w:pPr>
              <w:pStyle w:val="TableContents"/>
              <w:bidi w:val="0"/>
              <w:spacing w:lineRule="auto" w:line="300" w:before="0" w:after="160"/>
              <w:jc w:val="both"/>
              <w:rPr/>
            </w:pPr>
            <w:hyperlink w:anchor="ic117be0029cb4f07b897a349daad198c_195">
              <w:r>
                <w:rPr>
                  <w:rStyle w:val="InternetLink"/>
                  <w:rFonts w:ascii="Times New Roman;serif" w:hAnsi="Times New Roman;serif"/>
                  <w:b w:val="false"/>
                  <w:color w:val="000000"/>
                  <w:sz w:val="22"/>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40"/>
              <w:jc w:val="both"/>
              <w:rPr/>
            </w:pPr>
            <w:hyperlink w:anchor="ic117be0029cb4f07b897a349daad198c_195">
              <w:r>
                <w:rPr>
                  <w:rStyle w:val="InternetLink"/>
                  <w:rFonts w:ascii="Times New Roman;serif" w:hAnsi="Times New Roman;serif"/>
                  <w:b w:val="false"/>
                  <w:color w:val="000000"/>
                  <w:sz w:val="22"/>
                </w:rPr>
                <w:t>Power of Attorney (included in the signature pages to this Registration Statement).</w:t>
              </w:r>
            </w:hyperlink>
          </w:p>
        </w:tc>
      </w:tr>
      <w:tr>
        <w:trPr/>
        <w:tc>
          <w:tcPr>
            <w:tcW w:w="826" w:type="dxa"/>
            <w:gridSpan w:val="6"/>
            <w:tcBorders/>
            <w:tcMar>
              <w:top w:w="0" w:type="dxa"/>
              <w:left w:w="0" w:type="dxa"/>
              <w:bottom w:w="0" w:type="dxa"/>
              <w:right w:w="0" w:type="dxa"/>
            </w:tcMar>
            <w:vAlign w:val="center"/>
          </w:tcPr>
          <w:p>
            <w:pPr>
              <w:pStyle w:val="TableContents"/>
              <w:bidi w:val="0"/>
              <w:spacing w:lineRule="auto" w:line="300" w:before="0" w:after="160"/>
              <w:jc w:val="both"/>
              <w:rPr/>
            </w:pPr>
            <w:hyperlink r:id="rId12">
              <w:r>
                <w:rPr>
                  <w:rStyle w:val="InternetLink"/>
                  <w:rFonts w:ascii="Times New Roman;serif" w:hAnsi="Times New Roman;serif"/>
                  <w:b w:val="false"/>
                  <w:color w:val="000000"/>
                  <w:sz w:val="22"/>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160"/>
              <w:jc w:val="left"/>
              <w:rPr/>
            </w:pPr>
            <w:hyperlink r:id="rId13">
              <w:r>
                <w:rPr>
                  <w:rStyle w:val="InternetLink"/>
                  <w:rFonts w:ascii="Times New Roman;serif" w:hAnsi="Times New Roman;serif"/>
                  <w:b w:val="false"/>
                  <w:color w:val="000000"/>
                  <w:sz w:val="22"/>
                </w:rPr>
                <w:t>WillScot Holdings Corporation 2026 Incentive Award Plan (incorporated herein by reference to Exhibit 10.1 to the Company’s Current Report on Form 8-K  (File No. 001-37552), filed with the Commission on June 8, 2026).</w:t>
              </w:r>
            </w:hyperlink>
          </w:p>
        </w:tc>
      </w:tr>
      <w:tr>
        <w:trPr/>
        <w:tc>
          <w:tcPr>
            <w:tcW w:w="826" w:type="dxa"/>
            <w:gridSpan w:val="6"/>
            <w:tcBorders/>
            <w:tcMar>
              <w:top w:w="0" w:type="dxa"/>
              <w:left w:w="0" w:type="dxa"/>
              <w:bottom w:w="0" w:type="dxa"/>
              <w:right w:w="0" w:type="dxa"/>
            </w:tcMar>
            <w:vAlign w:val="center"/>
          </w:tcPr>
          <w:p>
            <w:pPr>
              <w:pStyle w:val="TableContents"/>
              <w:bidi w:val="0"/>
              <w:spacing w:lineRule="auto" w:line="300" w:before="0" w:after="160"/>
              <w:jc w:val="both"/>
              <w:rPr/>
            </w:pPr>
            <w:hyperlink w:anchor="exfilingfees.htm">
              <w:r>
                <w:rPr>
                  <w:rStyle w:val="InternetLink"/>
                  <w:rFonts w:ascii="Times New Roman;serif" w:hAnsi="Times New Roman;serif"/>
                  <w:b w:val="false"/>
                  <w:color w:val="000000"/>
                  <w:sz w:val="22"/>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300" w:before="0" w:after="160"/>
              <w:jc w:val="both"/>
              <w:rPr/>
            </w:pPr>
            <w:hyperlink w:anchor="exfilingfees.htm">
              <w:r>
                <w:rPr>
                  <w:rStyle w:val="InternetLink"/>
                  <w:rFonts w:ascii="Times New Roman;serif" w:hAnsi="Times New Roman;serif"/>
                  <w:b w:val="false"/>
                  <w:color w:val="000000"/>
                  <w:sz w:val="22"/>
                </w:rPr>
                <w:t>Filing Fee Table.</w:t>
              </w:r>
            </w:hyperlink>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9784" w:type="dxa"/>
            <w:gridSpan w:val="9"/>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9. Undertakings.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Company hereby undertakes: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To file, during any period in which offers or sales are being made, a post-effective amendment to this Registration Statement: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To include any prospectus required by Section 10(a)(3) of the Securities Act of 1933, as amended (the “Securities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Fees Tables” in the effective registration statement;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2"/>
        </w:rPr>
        <w:t>provided, however,</w:t>
      </w:r>
      <w:r>
        <w:rPr>
          <w:color w:val="000000"/>
        </w:rPr>
        <w:t> </w:t>
      </w:r>
      <w:r>
        <w:rPr>
          <w:rFonts w:ascii="Times New Roman;serif" w:hAnsi="Times New Roman;serif"/>
          <w:b w:val="false"/>
          <w:color w:val="000000"/>
          <w:sz w:val="22"/>
        </w:rPr>
        <w:t>that paragraphs (A)(1)(i) and (A)(1)(ii)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To remove from registration by means of a post-effective amendment any of the securities being registered which remain unsold at the termination of the offering.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SIGNATURES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Scottsdale, State of Arizona, on August 6, 2026.</w:t>
      </w:r>
    </w:p>
    <w:p>
      <w:pPr>
        <w:pStyle w:val="TextBody"/>
        <w:bidi w:val="0"/>
        <w:spacing w:before="0" w:after="0"/>
        <w:jc w:val="both"/>
        <w:rPr/>
      </w:pPr>
      <w:r>
        <w:rPr/>
      </w:r>
    </w:p>
    <w:tbl>
      <w:tblPr>
        <w:tblW w:w="9894" w:type="dxa"/>
        <w:jc w:val="left"/>
        <w:tblInd w:w="0" w:type="dxa"/>
        <w:tblLayout w:type="fixed"/>
        <w:tblCellMar>
          <w:top w:w="28" w:type="dxa"/>
          <w:left w:w="28" w:type="dxa"/>
          <w:bottom w:w="28" w:type="dxa"/>
          <w:right w:w="28" w:type="dxa"/>
        </w:tblCellMar>
      </w:tblPr>
      <w:tblGrid>
        <w:gridCol w:w="534"/>
        <w:gridCol w:w="468"/>
        <w:gridCol w:w="468"/>
        <w:gridCol w:w="468"/>
        <w:gridCol w:w="468"/>
        <w:gridCol w:w="468"/>
        <w:gridCol w:w="2043"/>
        <w:gridCol w:w="2043"/>
        <w:gridCol w:w="2934"/>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4"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WILLSCOT HOLDINGS CORPORATION</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/s/ S. Gary Shullaw</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Name: S. Gary Shullaw</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 Chief Legal Officer, and Corporate Secretary</w:t>
            </w:r>
          </w:p>
        </w:tc>
      </w:tr>
    </w:tbl>
    <w:p>
      <w:pPr>
        <w:pStyle w:val="TextBody"/>
        <w:bidi w:val="0"/>
        <w:spacing w:lineRule="auto" w:line="288" w:before="48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POWER OF ATTORNEY</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KNOW ALL PERSONS BY THESE PRESENTS, that the undersigned directors and officers of the Registrant, which is filing a Registration Statement on Form S-8 with t</w:t>
      </w:r>
      <w:r>
        <w:rPr>
          <w:rFonts w:ascii="Times New Roman;serif" w:hAnsi="Times New Roman;serif"/>
          <w:b w:val="false"/>
          <w:color w:val="000000"/>
          <w:sz w:val="22"/>
        </w:rPr>
        <w:t>he Securities and Exchange Commission, under the provisions of the Securities Act of 1933, hereby constitute and appoint Timothy D. Boswell and S. Gary Shullaw,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or supplements to this Registration Statement, including post-effective amendments, and to file the same, with all exhibits the</w:t>
      </w:r>
      <w:r>
        <w:rPr>
          <w:rFonts w:ascii="Times New Roman;serif" w:hAnsi="Times New Roman;serif"/>
          <w:b w:val="false"/>
          <w:color w:val="000000"/>
          <w:sz w:val="22"/>
          <w:shd w:fill="FFFFFF" w:val="clear"/>
        </w:rPr>
        <w:t>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w:t>
      </w:r>
      <w:r>
        <w:rPr>
          <w:rFonts w:ascii="Times New Roman;serif" w:hAnsi="Times New Roman;serif"/>
          <w:b w:val="false"/>
          <w:color w:val="000000"/>
          <w:sz w:val="22"/>
        </w:rPr>
        <w:t>hem, or their substitute or substitutes, may lawfully do or cause to be done by virtue hereof.</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of 1933, this Registration Statement has been signed by the following persons in the capacities indicated on August 6, 2026.</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7"/>
        <w:gridCol w:w="666"/>
        <w:gridCol w:w="644"/>
        <w:gridCol w:w="375"/>
        <w:gridCol w:w="375"/>
        <w:gridCol w:w="383"/>
        <w:gridCol w:w="109"/>
        <w:gridCol w:w="109"/>
        <w:gridCol w:w="109"/>
        <w:gridCol w:w="1963"/>
        <w:gridCol w:w="1946"/>
        <w:gridCol w:w="2769"/>
      </w:tblGrid>
      <w:tr>
        <w:trPr/>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Title</w:t>
            </w:r>
          </w:p>
        </w:tc>
      </w:tr>
      <w:tr>
        <w:trPr/>
        <w:tc>
          <w:tcPr>
            <w:tcW w:w="320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President, Chief Executive Officer and Director (Principal Executive Officer)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0"/>
              <w:ind w:left="0" w:right="0" w:hanging="240"/>
              <w:jc w:val="center"/>
              <w:rPr/>
            </w:pPr>
            <w:r>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Matthew T. Jacobsen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Chief Financial Officer </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Matthew T. Jacobsen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Carisa Bianchi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Chief Accounting Officer </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(Principal Accounting Officer)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Carisa Bianchi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Worthing F. Jackman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 and Executive Chair of the Board</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Worthing F. Jackman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Jeff Sagansky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Jeff Sagansky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Erika 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Erika 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Gerard E. Holthaus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Gerard E. Holthaus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Natalia 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Natalia 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Rebecca L. 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32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Rebecca L. 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Michael W. Upchurch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Michael W. Upchurch</w:t>
            </w:r>
          </w:p>
        </w:tc>
        <w:tc>
          <w:tcPr>
            <w:tcW w:w="1460"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/s/ Dominick Zarcone</w:t>
            </w:r>
          </w:p>
        </w:tc>
        <w:tc>
          <w:tcPr>
            <w:tcW w:w="14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2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Dominick Zarcone</w:t>
            </w:r>
          </w:p>
        </w:tc>
        <w:tc>
          <w:tcPr>
            <w:tcW w:w="14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CALCULATION OF FILING FEE TABLE</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WillScot Holdings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40" w:after="24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Table 1 - Newly Registered Securities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8"/>
        <w:gridCol w:w="278"/>
        <w:gridCol w:w="279"/>
        <w:gridCol w:w="714"/>
        <w:gridCol w:w="445"/>
        <w:gridCol w:w="447"/>
        <w:gridCol w:w="549"/>
        <w:gridCol w:w="379"/>
        <w:gridCol w:w="380"/>
        <w:gridCol w:w="365"/>
        <w:gridCol w:w="365"/>
        <w:gridCol w:w="366"/>
        <w:gridCol w:w="385"/>
        <w:gridCol w:w="385"/>
        <w:gridCol w:w="386"/>
        <w:gridCol w:w="852"/>
        <w:gridCol w:w="370"/>
        <w:gridCol w:w="371"/>
        <w:gridCol w:w="329"/>
        <w:gridCol w:w="329"/>
        <w:gridCol w:w="333"/>
        <w:gridCol w:w="371"/>
        <w:gridCol w:w="371"/>
        <w:gridCol w:w="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3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Amount Registered</w:t>
            </w:r>
            <w:r>
              <w:rPr>
                <w:rFonts w:ascii="Times New Roman;serif" w:hAnsi="Times New Roman;serif"/>
                <w:b/>
                <w:color w:val="000000"/>
                <w:sz w:val="13"/>
              </w:rPr>
              <w:t>(1)</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Proposed Maximum Offering Price Per Unit</w:t>
            </w:r>
            <w:r>
              <w:rPr>
                <w:rFonts w:ascii="Times New Roman;serif" w:hAnsi="Times New Roman;serif"/>
                <w:b/>
                <w:color w:val="000000"/>
                <w:sz w:val="13"/>
              </w:rPr>
              <w:t>(2)</w:t>
            </w:r>
          </w:p>
        </w:tc>
        <w:tc>
          <w:tcPr>
            <w:tcW w:w="15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12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6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 to be issued under the WillScot Holdings Corporation 2026 Incentive Award Plan</w:t>
            </w:r>
          </w:p>
        </w:tc>
        <w:tc>
          <w:tcPr>
            <w:tcW w:w="130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0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5,705,781</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$25.09</w:t>
            </w:r>
          </w:p>
        </w:tc>
        <w:tc>
          <w:tcPr>
            <w:tcW w:w="15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$143,158,045.29</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2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$19,770.13</w:t>
            </w:r>
          </w:p>
        </w:tc>
      </w:tr>
      <w:tr>
        <w:trPr/>
        <w:tc>
          <w:tcPr>
            <w:tcW w:w="34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84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115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$143,158,045.29</w:t>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$19,770.13</w:t>
            </w:r>
          </w:p>
        </w:tc>
      </w:tr>
      <w:tr>
        <w:trPr/>
        <w:tc>
          <w:tcPr>
            <w:tcW w:w="34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845"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Fee Offsets</w:t>
            </w:r>
          </w:p>
        </w:tc>
        <w:tc>
          <w:tcPr>
            <w:tcW w:w="115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45"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Fee Due</w:t>
            </w:r>
          </w:p>
        </w:tc>
        <w:tc>
          <w:tcPr>
            <w:tcW w:w="11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$19,770.13</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Offering Note</w:t>
      </w:r>
    </w:p>
    <w:p>
      <w:pPr>
        <w:pStyle w:val="TextBody"/>
        <w:bidi w:val="0"/>
        <w:spacing w:lineRule="auto" w:line="288" w:before="0" w:after="240"/>
        <w:ind w:left="0" w:right="0" w:hanging="374"/>
        <w:jc w:val="left"/>
        <w:rPr/>
      </w:pPr>
      <w:r>
        <w:rPr>
          <w:rFonts w:ascii="Times New Roman;serif" w:hAnsi="Times New Roman;serif"/>
          <w:b w:val="false"/>
          <w:color w:val="000000"/>
          <w:sz w:val="24"/>
        </w:rPr>
        <w:t>(</w:t>
      </w:r>
      <w:r>
        <w:rPr>
          <w:rFonts w:ascii="Times New Roman;serif" w:hAnsi="Times New Roman;serif"/>
          <w:b w:val="false"/>
          <w:color w:val="000000"/>
          <w:sz w:val="20"/>
        </w:rPr>
        <w:t>1)    Pursuant to Rule 416(a) under the Securities Act of 1933, as amended (the “Securities Act”), this Registration Statement on Form S-8 also covers such indeterminable number of additional shares of WillScot Holdings Corporation (the “Registrant”) common stock, $0.0001 par value per share (“Common Stock”), as may become issuable under the WillScot Holdings Corporation 2026 Incentive Award Plan (the “Plan”) to prevent dilution in the event of a reorganization, reclassification, stock split, dividend or distribution, or any similar transaction.</w:t>
      </w:r>
    </w:p>
    <w:p>
      <w:pPr>
        <w:pStyle w:val="TextBody"/>
        <w:bidi w:val="0"/>
        <w:spacing w:lineRule="auto" w:line="288" w:before="0" w:after="240"/>
        <w:ind w:left="0" w:right="0" w:hanging="374"/>
        <w:jc w:val="left"/>
        <w:rPr>
          <w:rFonts w:ascii="Times New Roman;serif" w:hAnsi="Times New Roman;serif"/>
          <w:b w:val="false"/>
          <w:color w:val="000000"/>
          <w:sz w:val="20"/>
        </w:rPr>
      </w:pPr>
      <w:r>
        <w:rPr>
          <w:rFonts w:ascii="Times New Roman;serif" w:hAnsi="Times New Roman;serif"/>
          <w:b w:val="false"/>
          <w:color w:val="000000"/>
          <w:sz w:val="20"/>
        </w:rPr>
        <w:t>(2)    Estimated solely for the purpose of calculating the registration fee pursuant to Rule 457(c) and Rule 457(h) under the Securities Act, based upon the average of the high and low prices of the Registrant’s Common Stock as reported on the New York Stock Exchange on August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744" w:type="dxa"/>
        <w:jc w:val="left"/>
        <w:tblInd w:w="0" w:type="dxa"/>
        <w:tblLayout w:type="fixed"/>
        <w:tblCellMar>
          <w:top w:w="28" w:type="dxa"/>
          <w:left w:w="28" w:type="dxa"/>
          <w:bottom w:w="28" w:type="dxa"/>
          <w:right w:w="28" w:type="dxa"/>
        </w:tblCellMar>
      </w:tblPr>
      <w:tblGrid>
        <w:gridCol w:w="1162"/>
        <w:gridCol w:w="1021"/>
        <w:gridCol w:w="1023"/>
        <w:gridCol w:w="109"/>
        <w:gridCol w:w="109"/>
        <w:gridCol w:w="109"/>
        <w:gridCol w:w="3870"/>
        <w:gridCol w:w="3870"/>
        <w:gridCol w:w="5471"/>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c>
          <w:tcPr>
            <w:tcW w:w="5471"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71675" cy="3143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14"/>
                          <a:stretch>
                            <a:fillRect/>
                          </a:stretch>
                        </pic:blipFill>
                        <pic:spPr bwMode="auto">
                          <a:xfrm>
                            <a:off x="0" y="0"/>
                            <a:ext cx="1971675" cy="314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ableContents"/>
              <w:bidi w:val="0"/>
              <w:spacing w:lineRule="auto" w:line="288" w:before="0" w:after="0"/>
              <w:jc w:val="left"/>
              <w:rPr>
                <w:color w:val="000000"/>
              </w:rPr>
            </w:pPr>
            <w:r>
              <w:rPr>
                <w:color w:val="000000"/>
              </w:rPr>
              <w:t>                                                                                                                                                                                                                          </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WillScot Holdings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6400 East McDowell Road,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Scottsdale, Arizona 85257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WillScot Holdings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Registration Statement on Form S-8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have acted as counsel to WillScot Holdings Corporation, a Delaware corporation (the “Company”), in connection with the preparation and filing by the Company of a Registration Statement on Form S-8 (the “Registration Statement”) with the Securities and Exchange Commission (the “Commission”) on or about the date hereof pursuant to the Securities Act of 1933, as amended (the “Securities Act”). The Registration Statement relates to the registration of 5,705,781 shares of the Company’s common stock, $0.0001 par value per share (the “Shares”), issuable under the WillScot Holdings Corporation 2026 Incentive Award Plan (the “Plan”).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letter is being furnished in accordance with the requirements of Item 8(a) of Form S-8 and Item 601(b)(5)(i) of Regulation S-K.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connection with this opinion letter, we have examined originals or copies, certified or otherwise identified to our satisfaction, of such documents and records of the Company, certificates of public officials and officers of the Company and such other documents, certificates and records as we have deemed necessary to render the opinions set forth herein, including, among other things, (i) the Company’s Amended and Restated Certificate of Incorporation, as amended through the date hereof, (ii) the Company’s Sixth Amended and Restated Bylaws, as amended through the date hereof, (iii) the Plan, (iv) the Registration Statement, (v) resolutions of the Company’s Board of Directors approving the Plan and authorizing the registration and issuance of the Shares and (vi) a certificate issued by the Secretary of State of the State of Delaware on the date hereof to the effect that the Company is existing under the laws of the State of Delaware and in good standing.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purposes of the opinions expressed below, we have assumed (i) the legal capacity of all natural persons, (ii) the genuineness of all signatures, (iii) the authenticity of all documents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WillScot Holdings Corporation</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7345"/>
                <wp:effectExtent l="0" t="0" r="0" b="0"/>
                <wp:wrapNone/>
                <wp:docPr id="13" name="Frame11"/>
                <a:graphic xmlns:a="http://schemas.openxmlformats.org/drawingml/2006/main">
                  <a:graphicData uri="http://schemas.microsoft.com/office/word/2010/wordprocessingShape">
                    <wps:wsp>
                      <wps:cNvSpPr txBox="1"/>
                      <wps:spPr>
                        <a:xfrm>
                          <a:off x="0" y="0"/>
                          <a:ext cx="6480175" cy="347345"/>
                        </a:xfrm>
                        <a:prstGeom prst="rect"/>
                        <a:solidFill>
                          <a:srgbClr val="FFFFFF"/>
                        </a:solidFill>
                      </wps:spPr>
                      <wps:txbx>
                        <w:txbxContent>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McGuireWoods LLP | www.mcguirewoods.com</w:t>
                            </w:r>
                            <w:r>
                              <w:br w:type="page"/>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Atlanta | Austin | Baltimore | Charlotte | Charlottesville | Chicago | Dallas | Houston | Jacksonville | London | Los Angeles - Century City | New York | Norfolk | Pittsburgh | Raleigh | Richmond | San Francisco | Seattle | Tysons | Washington, D.C.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McGuireWoods LLP | www.mcguirewoods.com</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Atlanta | Austin | Baltimore | Charlotte | Charlottesville | Chicago | Dallas | Houston | Jacksonville | London | Los Angeles - Century City | New York | Norfolk | Pittsburgh | Raleigh | Richmond | San Francisco | Seattle | Tysons | Washington, D.C.</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submitted to us as originals, (iv) the conformity to authentic original documents of all documents submitted to us as certified, electronic or photostatic copies and (v) the due authorization, execution and delivery of all documents by all parties and the validity, binding effect and enforceability thereof on such parties (other than the authorization, execution and delivery of certain documents by the Company).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to factual matters, we have relied upon, and assumed the accuracy of, representations included in the documents submitted to us, upon certificates of officers of the Company and upon certificates of public officials, without independent investigation of their accuracy.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upon the foregoing and such other information and documents as we have considered necessary for the purposes hereof, and subject to the assumptions, qualifications and limitations stated herein, we are of the opinion that: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1.The Company is a corporation validly existing and in good standing under the laws of the State of Delaware.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2.The Shares have been duly authorized and, when and to the extent issued in accordance with the terms of the Plan and any award agreement entered into under the Plan, the Shares will be validly issued, fully paid and nonassessable.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opinions expressed above are limited to the General Corporation Law of the State of Delaware in effect on the date hereof. We do not express any opinion as to the laws of any other jurisdiction.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filing of this opinion letter with the Commission as an exhibit to the Registration Statement. In giving this consent, we do not admit that we are within the category of persons whose consent is required by Section 7 of the Securities Act or the rules and regulations of the Commission promulgated thereunder.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letter is rendered as of the date hereof, and we disclaim any obligation to advise you of facts, circumstances, events or developments that hereafter may be brought to our attention and that may alter, affect or modify the opinion expressed herein. This opinion letter is expressly limited to the matters set forth above, and we render no opinion, whether by implication or otherwise, as to any matters beyond the matters expressly set forth herein.</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ind w:left="0" w:right="0" w:firstLine="5040"/>
        <w:jc w:val="left"/>
        <w:rPr/>
      </w:pPr>
      <w:r>
        <w:rPr/>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/s/ McGuireWoods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333333"/>
          <w:sz w:val="21"/>
        </w:rPr>
      </w:pPr>
      <w:r>
        <w:rPr>
          <w:rFonts w:ascii="Arial;sans-serif" w:hAnsi="Arial;sans-serif"/>
          <w:b/>
          <w:color w:val="333333"/>
          <w:sz w:val="21"/>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333333"/>
          <w:sz w:val="21"/>
        </w:rPr>
      </w:pPr>
      <w:r>
        <w:rPr>
          <w:rFonts w:ascii="Arial;sans-serif" w:hAnsi="Arial;sans-serif"/>
          <w:b w:val="false"/>
          <w:color w:val="333333"/>
          <w:sz w:val="21"/>
        </w:rPr>
        <w:t>We consent to the incorporation by reference in the Registration Statement (Form S-8) pertaining to the 2026 Incentive Award Plan of WillScot Holdings Corporation of our reports dated February 19, 2026, with respect to the consolidated financial statements of WillScot Holdings Corporation and the effectiveness of internal control over financial reporting of WillScot Holdings Corporation included in its Annual Report (Form 10-K) for the year ended December 31, 2025, filed with the Securities and Exchange Commission.</w:t>
      </w:r>
    </w:p>
    <w:p>
      <w:pPr>
        <w:pStyle w:val="TextBody"/>
        <w:bidi w:val="0"/>
        <w:spacing w:lineRule="auto" w:line="288" w:before="100" w:after="100"/>
        <w:jc w:val="left"/>
        <w:rPr>
          <w:rFonts w:ascii="Arial;sans-serif" w:hAnsi="Arial;sans-serif"/>
          <w:b w:val="false"/>
          <w:color w:val="333333"/>
          <w:sz w:val="21"/>
        </w:rPr>
      </w:pPr>
      <w:r>
        <w:rPr>
          <w:rFonts w:ascii="Arial;sans-serif" w:hAnsi="Arial;sans-serif"/>
          <w:b w:val="false"/>
          <w:color w:val="333333"/>
          <w:sz w:val="21"/>
        </w:rPr>
        <w:t>/s/ Ernst &amp; Young LLP</w:t>
      </w:r>
    </w:p>
    <w:p>
      <w:pPr>
        <w:pStyle w:val="TextBody"/>
        <w:bidi w:val="0"/>
        <w:spacing w:lineRule="auto" w:line="288" w:before="100" w:after="10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Baltimore, Maryland</w:t>
        <w:br/>
        <w:t xml:space="preserve">August 6, 2026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47088/000164708826000011/wsc-20251231.htm" TargetMode="External"/><Relationship Id="rId4" Type="http://schemas.openxmlformats.org/officeDocument/2006/relationships/hyperlink" Target="https://www.sec.gov/Archives/edgar/data/1647088/000164708826000021/wsc-20260422.htm" TargetMode="External"/><Relationship Id="rId5" Type="http://schemas.openxmlformats.org/officeDocument/2006/relationships/hyperlink" Target="https://www.sec.gov/Archives/edgar/data/1647088/000164708826000031/wsc-20260331.htm" TargetMode="External"/><Relationship Id="rId6" Type="http://schemas.openxmlformats.org/officeDocument/2006/relationships/hyperlink" Target="https://www.sec.gov/Archives/edgar/data/1647088/000164708826000056/wsc-20260630.htm" TargetMode="External"/><Relationship Id="rId7" Type="http://schemas.openxmlformats.org/officeDocument/2006/relationships/hyperlink" Target="https://www.sec.gov/Archives/edgar/data/1647088/000164708826000003/wsc-20260114.htm" TargetMode="External"/><Relationship Id="rId8" Type="http://schemas.openxmlformats.org/officeDocument/2006/relationships/hyperlink" Target="https://www.sec.gov/Archives/edgar/data/1647088/000164708826000003/wsc-20260114.htm" TargetMode="External"/><Relationship Id="rId9" Type="http://schemas.openxmlformats.org/officeDocument/2006/relationships/hyperlink" Target="https://www.sec.gov/Archives/edgar/data/1647088/000164708826000034/wsc-20260605.htm" TargetMode="External"/><Relationship Id="rId10" Type="http://schemas.openxmlformats.org/officeDocument/2006/relationships/hyperlink" Target="https://www.sec.gov/Archives/edgar/data/1647088/000164708826000011/ex412-10k2025.htm" TargetMode="External"/><Relationship Id="rId11" Type="http://schemas.openxmlformats.org/officeDocument/2006/relationships/hyperlink" Target="https://www.sec.gov/Archives/edgar/data/1647088/000164708826000011/wsc-20251231.htm" TargetMode="External"/><Relationship Id="rId12" Type="http://schemas.openxmlformats.org/officeDocument/2006/relationships/hyperlink" Target="https://www.sec.gov/Archives/edgar/data/1647088/000164708826000034/wsc-20260605.htm" TargetMode="External"/><Relationship Id="rId13" Type="http://schemas.openxmlformats.org/officeDocument/2006/relationships/hyperlink" Target="https://www.sec.gov/Archives/edgar/data/1647088/000164708826000034/wsc-20260605.htm" TargetMode="External"/><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4293</Words>
  <Characters>22721</Characters>
  <CharactersWithSpaces>27037</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